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D6" w:rsidRPr="00021E9E" w:rsidRDefault="00021E9E" w:rsidP="00021E9E">
      <w:pPr>
        <w:jc w:val="center"/>
        <w:rPr>
          <w:rFonts w:ascii="Times New Roman" w:hAnsi="Times New Roman" w:cs="Times New Roman"/>
          <w:b/>
          <w:bCs/>
          <w:sz w:val="24"/>
          <w:szCs w:val="24"/>
        </w:rPr>
      </w:pPr>
      <w:r w:rsidRPr="00021E9E">
        <w:rPr>
          <w:rFonts w:ascii="Times New Roman" w:hAnsi="Times New Roman" w:cs="Times New Roman"/>
          <w:b/>
          <w:bCs/>
          <w:sz w:val="24"/>
          <w:szCs w:val="24"/>
        </w:rPr>
        <w:t>Законодательные требования к срочному информированию Росздравнадзора о нежелательных реакциях и проблемах безопасности лекарственных препаратов</w:t>
      </w:r>
    </w:p>
    <w:tbl>
      <w:tblPr>
        <w:tblStyle w:val="a3"/>
        <w:tblW w:w="0" w:type="auto"/>
        <w:tblLook w:val="04A0" w:firstRow="1" w:lastRow="0" w:firstColumn="1" w:lastColumn="0" w:noHBand="0" w:noVBand="1"/>
      </w:tblPr>
      <w:tblGrid>
        <w:gridCol w:w="4853"/>
        <w:gridCol w:w="4853"/>
        <w:gridCol w:w="4854"/>
      </w:tblGrid>
      <w:tr w:rsidR="00021E9E" w:rsidRPr="00021E9E" w:rsidTr="007011F7">
        <w:tc>
          <w:tcPr>
            <w:tcW w:w="4853" w:type="dxa"/>
          </w:tcPr>
          <w:p w:rsidR="00021E9E" w:rsidRPr="00021E9E" w:rsidRDefault="00021E9E" w:rsidP="007011F7">
            <w:pPr>
              <w:rPr>
                <w:rFonts w:ascii="Times New Roman" w:hAnsi="Times New Roman" w:cs="Times New Roman"/>
                <w:b/>
                <w:bCs/>
              </w:rPr>
            </w:pPr>
            <w:r w:rsidRPr="00021E9E">
              <w:rPr>
                <w:rFonts w:ascii="Times New Roman" w:hAnsi="Times New Roman" w:cs="Times New Roman"/>
                <w:b/>
                <w:bCs/>
              </w:rPr>
              <w:t>Медицинские организации</w:t>
            </w:r>
          </w:p>
        </w:tc>
        <w:tc>
          <w:tcPr>
            <w:tcW w:w="4853" w:type="dxa"/>
          </w:tcPr>
          <w:p w:rsidR="00021E9E" w:rsidRPr="00021E9E" w:rsidRDefault="00021E9E" w:rsidP="007011F7">
            <w:pPr>
              <w:rPr>
                <w:rFonts w:ascii="Times New Roman" w:hAnsi="Times New Roman" w:cs="Times New Roman"/>
                <w:b/>
                <w:bCs/>
              </w:rPr>
            </w:pPr>
            <w:r w:rsidRPr="00021E9E">
              <w:rPr>
                <w:rFonts w:ascii="Times New Roman" w:hAnsi="Times New Roman" w:cs="Times New Roman"/>
                <w:b/>
                <w:bCs/>
              </w:rPr>
              <w:t xml:space="preserve">Держатели регистрационных удостоверений лекарственных препаратов </w:t>
            </w:r>
          </w:p>
        </w:tc>
        <w:tc>
          <w:tcPr>
            <w:tcW w:w="4854" w:type="dxa"/>
          </w:tcPr>
          <w:p w:rsidR="00021E9E" w:rsidRPr="00021E9E" w:rsidRDefault="00021E9E" w:rsidP="007011F7">
            <w:pPr>
              <w:rPr>
                <w:rFonts w:ascii="Times New Roman" w:hAnsi="Times New Roman" w:cs="Times New Roman"/>
                <w:b/>
                <w:bCs/>
              </w:rPr>
            </w:pPr>
            <w:r w:rsidRPr="00021E9E">
              <w:rPr>
                <w:rFonts w:ascii="Times New Roman" w:hAnsi="Times New Roman" w:cs="Times New Roman"/>
                <w:b/>
                <w:bCs/>
              </w:rPr>
              <w:t>Юридические, на имя которых выданы разрешения на проведение клинических исследований</w:t>
            </w:r>
          </w:p>
        </w:tc>
      </w:tr>
      <w:tr w:rsidR="00021E9E" w:rsidRPr="00021E9E" w:rsidTr="007011F7">
        <w:tc>
          <w:tcPr>
            <w:tcW w:w="14560" w:type="dxa"/>
            <w:gridSpan w:val="3"/>
          </w:tcPr>
          <w:p w:rsidR="00021E9E" w:rsidRPr="00021E9E" w:rsidRDefault="00021E9E" w:rsidP="007011F7">
            <w:pPr>
              <w:rPr>
                <w:rFonts w:ascii="Times New Roman" w:hAnsi="Times New Roman" w:cs="Times New Roman"/>
                <w:color w:val="000000" w:themeColor="text1"/>
              </w:rPr>
            </w:pPr>
            <w:r w:rsidRPr="00021E9E">
              <w:rPr>
                <w:rFonts w:ascii="Times New Roman" w:hAnsi="Times New Roman" w:cs="Times New Roman"/>
                <w:color w:val="000000" w:themeColor="text1"/>
              </w:rPr>
              <w:t>Основания:</w:t>
            </w:r>
          </w:p>
          <w:p w:rsidR="00021E9E" w:rsidRPr="00021E9E" w:rsidRDefault="00021E9E" w:rsidP="00021E9E">
            <w:pPr>
              <w:jc w:val="center"/>
              <w:rPr>
                <w:rFonts w:ascii="Times New Roman" w:hAnsi="Times New Roman" w:cs="Times New Roman"/>
                <w:b/>
                <w:bCs/>
              </w:rPr>
            </w:pPr>
            <w:r w:rsidRPr="00021E9E">
              <w:rPr>
                <w:rFonts w:ascii="Times New Roman" w:hAnsi="Times New Roman" w:cs="Times New Roman"/>
                <w:b/>
                <w:bCs/>
                <w:color w:val="000000" w:themeColor="text1"/>
              </w:rPr>
              <w:t>Порядок осуществления фармаконадзора, утвержденный приказом Росздравнадзора от 15.02.2017 №1071</w:t>
            </w:r>
          </w:p>
          <w:p w:rsidR="00021E9E" w:rsidRPr="00021E9E" w:rsidRDefault="00021E9E" w:rsidP="007011F7">
            <w:pPr>
              <w:rPr>
                <w:rFonts w:ascii="Times New Roman" w:hAnsi="Times New Roman" w:cs="Times New Roman"/>
              </w:rPr>
            </w:pPr>
          </w:p>
        </w:tc>
      </w:tr>
      <w:tr w:rsidR="00021E9E" w:rsidRPr="00021E9E" w:rsidTr="007011F7">
        <w:tc>
          <w:tcPr>
            <w:tcW w:w="4853" w:type="dxa"/>
          </w:tcPr>
          <w:p w:rsidR="00021E9E" w:rsidRPr="00021E9E" w:rsidRDefault="00021E9E" w:rsidP="007011F7">
            <w:pPr>
              <w:rPr>
                <w:rFonts w:ascii="Times New Roman" w:hAnsi="Times New Roman" w:cs="Times New Roman"/>
                <w:b/>
                <w:bCs/>
              </w:rPr>
            </w:pPr>
          </w:p>
        </w:tc>
        <w:tc>
          <w:tcPr>
            <w:tcW w:w="4853" w:type="dxa"/>
          </w:tcPr>
          <w:p w:rsidR="00021E9E" w:rsidRPr="00021E9E" w:rsidRDefault="00021E9E" w:rsidP="007011F7">
            <w:pPr>
              <w:rPr>
                <w:rFonts w:ascii="Times New Roman" w:hAnsi="Times New Roman" w:cs="Times New Roman"/>
                <w:i/>
                <w:iCs/>
              </w:rPr>
            </w:pPr>
            <w:r w:rsidRPr="00021E9E">
              <w:rPr>
                <w:rFonts w:ascii="Times New Roman" w:hAnsi="Times New Roman" w:cs="Times New Roman"/>
                <w:i/>
                <w:iCs/>
              </w:rPr>
              <w:t xml:space="preserve">п.п. 7.1.7.1 и 7.1.7.3.Правил надлежащей практики фармаконадзора, утвержденных решением Совета Евразийской Экономической Комиссии от 3 ноября 2016 г. N 87 </w:t>
            </w:r>
          </w:p>
        </w:tc>
        <w:tc>
          <w:tcPr>
            <w:tcW w:w="4854" w:type="dxa"/>
          </w:tcPr>
          <w:p w:rsidR="00021E9E" w:rsidRPr="00021E9E" w:rsidRDefault="00021E9E" w:rsidP="007011F7">
            <w:pPr>
              <w:autoSpaceDE w:val="0"/>
              <w:autoSpaceDN w:val="0"/>
              <w:adjustRightInd w:val="0"/>
              <w:jc w:val="both"/>
              <w:rPr>
                <w:rFonts w:ascii="Times New Roman" w:hAnsi="Times New Roman" w:cs="Times New Roman"/>
                <w:i/>
                <w:iCs/>
              </w:rPr>
            </w:pPr>
            <w:r w:rsidRPr="00021E9E">
              <w:rPr>
                <w:rFonts w:ascii="Times New Roman" w:hAnsi="Times New Roman" w:cs="Times New Roman"/>
                <w:i/>
                <w:iCs/>
              </w:rPr>
              <w:t>п. 1.5 Приложения N 11 Правил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w:t>
            </w:r>
          </w:p>
        </w:tc>
      </w:tr>
      <w:tr w:rsidR="00021E9E" w:rsidRPr="00021E9E" w:rsidTr="007011F7">
        <w:tc>
          <w:tcPr>
            <w:tcW w:w="4853" w:type="dxa"/>
          </w:tcPr>
          <w:p w:rsidR="00021E9E" w:rsidRPr="00021E9E" w:rsidRDefault="00021E9E" w:rsidP="007011F7">
            <w:pPr>
              <w:rPr>
                <w:rFonts w:ascii="Times New Roman" w:hAnsi="Times New Roman" w:cs="Times New Roman"/>
                <w:b/>
                <w:bCs/>
              </w:rPr>
            </w:pPr>
            <w:r w:rsidRPr="00021E9E">
              <w:rPr>
                <w:rFonts w:ascii="Times New Roman" w:hAnsi="Times New Roman" w:cs="Times New Roman"/>
                <w:b/>
                <w:bCs/>
              </w:rPr>
              <w:t>3 календарных дня:</w:t>
            </w:r>
          </w:p>
          <w:p w:rsidR="00021E9E" w:rsidRPr="00021E9E" w:rsidRDefault="00021E9E" w:rsidP="007011F7">
            <w:pPr>
              <w:autoSpaceDE w:val="0"/>
              <w:autoSpaceDN w:val="0"/>
              <w:adjustRightInd w:val="0"/>
              <w:jc w:val="both"/>
              <w:rPr>
                <w:rFonts w:ascii="Times New Roman" w:hAnsi="Times New Roman" w:cs="Times New Roman"/>
              </w:rPr>
            </w:pPr>
            <w:r w:rsidRPr="00021E9E">
              <w:rPr>
                <w:rFonts w:ascii="Times New Roman" w:hAnsi="Times New Roman" w:cs="Times New Roman"/>
              </w:rPr>
              <w:t>Серьезные нежелательные реакции с летальным исходом или угрозой жизни, за исключением нежелательных реакций, выявленных в ходе проведения клинических исследований, проводимых в данной медицинской организации.</w:t>
            </w:r>
          </w:p>
          <w:p w:rsidR="00021E9E" w:rsidRPr="00021E9E" w:rsidRDefault="00021E9E" w:rsidP="007011F7">
            <w:pPr>
              <w:ind w:left="-43"/>
              <w:jc w:val="both"/>
              <w:rPr>
                <w:rFonts w:ascii="Times New Roman" w:hAnsi="Times New Roman" w:cs="Times New Roman"/>
              </w:rPr>
            </w:pPr>
          </w:p>
          <w:p w:rsidR="00021E9E" w:rsidRPr="00021E9E" w:rsidRDefault="006D5935" w:rsidP="007011F7">
            <w:pPr>
              <w:ind w:left="-43"/>
              <w:jc w:val="both"/>
              <w:rPr>
                <w:rFonts w:ascii="Times New Roman" w:hAnsi="Times New Roman" w:cs="Times New Roman"/>
                <w:b/>
                <w:bCs/>
              </w:rPr>
            </w:pPr>
            <w:r>
              <w:rPr>
                <w:rFonts w:ascii="Times New Roman" w:hAnsi="Times New Roman" w:cs="Times New Roman"/>
                <w:b/>
                <w:bCs/>
              </w:rPr>
              <w:t>15 рабочих дней:</w:t>
            </w:r>
          </w:p>
          <w:p w:rsidR="00021E9E" w:rsidRPr="00021E9E" w:rsidRDefault="00B749D2" w:rsidP="007011F7">
            <w:pPr>
              <w:pStyle w:val="a4"/>
              <w:numPr>
                <w:ilvl w:val="0"/>
                <w:numId w:val="1"/>
              </w:numPr>
              <w:ind w:left="317"/>
              <w:jc w:val="both"/>
              <w:rPr>
                <w:rFonts w:ascii="Times New Roman" w:hAnsi="Times New Roman" w:cs="Times New Roman"/>
              </w:rPr>
            </w:pPr>
            <w:r>
              <w:rPr>
                <w:rFonts w:ascii="Times New Roman" w:hAnsi="Times New Roman" w:cs="Times New Roman"/>
              </w:rPr>
              <w:t xml:space="preserve">иные </w:t>
            </w:r>
            <w:r w:rsidR="00021E9E" w:rsidRPr="00021E9E">
              <w:rPr>
                <w:rFonts w:ascii="Times New Roman" w:hAnsi="Times New Roman" w:cs="Times New Roman"/>
              </w:rPr>
              <w:t>серьезные нежелательные реак</w:t>
            </w:r>
            <w:r>
              <w:rPr>
                <w:rFonts w:ascii="Times New Roman" w:hAnsi="Times New Roman" w:cs="Times New Roman"/>
              </w:rPr>
              <w:t>ции на лекарственные препараты;</w:t>
            </w:r>
          </w:p>
          <w:p w:rsidR="00021E9E" w:rsidRPr="00021E9E" w:rsidRDefault="00021E9E" w:rsidP="007011F7">
            <w:pPr>
              <w:pStyle w:val="a4"/>
              <w:numPr>
                <w:ilvl w:val="0"/>
                <w:numId w:val="1"/>
              </w:numPr>
              <w:ind w:left="317"/>
              <w:jc w:val="both"/>
              <w:rPr>
                <w:rFonts w:ascii="Times New Roman" w:hAnsi="Times New Roman" w:cs="Times New Roman"/>
              </w:rPr>
            </w:pPr>
            <w:r w:rsidRPr="00021E9E">
              <w:rPr>
                <w:rFonts w:ascii="Times New Roman" w:hAnsi="Times New Roman" w:cs="Times New Roman"/>
              </w:rPr>
              <w:t>случаи передачи инфекционного заболевания через лекарственный препарат;</w:t>
            </w:r>
          </w:p>
          <w:p w:rsidR="00021E9E" w:rsidRPr="00021E9E" w:rsidRDefault="00021E9E" w:rsidP="007011F7">
            <w:pPr>
              <w:pStyle w:val="a4"/>
              <w:numPr>
                <w:ilvl w:val="0"/>
                <w:numId w:val="1"/>
              </w:numPr>
              <w:ind w:left="317"/>
              <w:jc w:val="both"/>
              <w:rPr>
                <w:rFonts w:ascii="Times New Roman" w:hAnsi="Times New Roman" w:cs="Times New Roman"/>
              </w:rPr>
            </w:pPr>
            <w:r w:rsidRPr="00021E9E">
              <w:rPr>
                <w:rFonts w:ascii="Times New Roman" w:hAnsi="Times New Roman" w:cs="Times New Roman"/>
              </w:rPr>
              <w:t>случаи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
          <w:p w:rsidR="00021E9E" w:rsidRDefault="00021E9E" w:rsidP="007011F7">
            <w:pPr>
              <w:pStyle w:val="a4"/>
              <w:numPr>
                <w:ilvl w:val="0"/>
                <w:numId w:val="1"/>
              </w:numPr>
              <w:ind w:left="317"/>
              <w:jc w:val="both"/>
              <w:rPr>
                <w:rFonts w:ascii="Times New Roman" w:hAnsi="Times New Roman" w:cs="Times New Roman"/>
              </w:rPr>
            </w:pPr>
            <w:r w:rsidRPr="00021E9E">
              <w:rPr>
                <w:rFonts w:ascii="Times New Roman" w:hAnsi="Times New Roman" w:cs="Times New Roman"/>
              </w:rPr>
              <w:t xml:space="preserve">нежелательные реакции, возникшие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w:t>
            </w:r>
            <w:r w:rsidR="009D102C">
              <w:rPr>
                <w:rFonts w:ascii="Times New Roman" w:hAnsi="Times New Roman" w:cs="Times New Roman"/>
              </w:rPr>
              <w:t>вреда жизни и здоровью человека;</w:t>
            </w:r>
          </w:p>
          <w:p w:rsidR="00884A09" w:rsidRDefault="00884A09" w:rsidP="00884A09">
            <w:pPr>
              <w:pStyle w:val="a4"/>
              <w:ind w:left="317" w:hanging="317"/>
              <w:jc w:val="both"/>
              <w:rPr>
                <w:rFonts w:ascii="Times New Roman" w:hAnsi="Times New Roman" w:cs="Times New Roman"/>
              </w:rPr>
            </w:pPr>
          </w:p>
          <w:p w:rsidR="006D5935" w:rsidRPr="006D5935" w:rsidRDefault="006D5935" w:rsidP="00EE71C9">
            <w:pPr>
              <w:pStyle w:val="a4"/>
              <w:numPr>
                <w:ilvl w:val="0"/>
                <w:numId w:val="7"/>
              </w:numPr>
              <w:ind w:left="454" w:hanging="283"/>
              <w:jc w:val="both"/>
              <w:rPr>
                <w:rFonts w:ascii="Times New Roman" w:hAnsi="Times New Roman" w:cs="Times New Roman"/>
                <w:b/>
              </w:rPr>
            </w:pPr>
            <w:r w:rsidRPr="006D5935">
              <w:rPr>
                <w:rFonts w:ascii="Times New Roman" w:hAnsi="Times New Roman" w:cs="Times New Roman"/>
                <w:b/>
              </w:rPr>
              <w:t>рабочих дней</w:t>
            </w:r>
            <w:r>
              <w:rPr>
                <w:rFonts w:ascii="Times New Roman" w:hAnsi="Times New Roman" w:cs="Times New Roman"/>
                <w:b/>
              </w:rPr>
              <w:t>:</w:t>
            </w:r>
          </w:p>
          <w:p w:rsidR="00021E9E" w:rsidRPr="00021E9E" w:rsidRDefault="00021E9E" w:rsidP="006D5935">
            <w:pPr>
              <w:pStyle w:val="a4"/>
              <w:numPr>
                <w:ilvl w:val="0"/>
                <w:numId w:val="6"/>
              </w:numPr>
              <w:ind w:left="313" w:hanging="313"/>
              <w:jc w:val="both"/>
              <w:rPr>
                <w:rFonts w:ascii="Times New Roman" w:hAnsi="Times New Roman" w:cs="Times New Roman"/>
              </w:rPr>
            </w:pPr>
            <w:r w:rsidRPr="00021E9E">
              <w:rPr>
                <w:rFonts w:ascii="Times New Roman" w:hAnsi="Times New Roman" w:cs="Times New Roman"/>
              </w:rPr>
              <w:t>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 льготного лекарственного обеспечения, (направляются врачебными комиссиями, соответствии с приказом Мин</w:t>
            </w:r>
            <w:r w:rsidR="008D7FD6">
              <w:rPr>
                <w:rFonts w:ascii="Times New Roman" w:hAnsi="Times New Roman" w:cs="Times New Roman"/>
              </w:rPr>
              <w:t>здрава России от 5 мая 2012 г. № 502н «</w:t>
            </w:r>
            <w:r w:rsidRPr="00021E9E">
              <w:rPr>
                <w:rFonts w:ascii="Times New Roman" w:hAnsi="Times New Roman" w:cs="Times New Roman"/>
              </w:rPr>
              <w:t>Об утверждении порядка создания и деятельности врачебной к</w:t>
            </w:r>
            <w:r w:rsidR="008D7FD6">
              <w:rPr>
                <w:rFonts w:ascii="Times New Roman" w:hAnsi="Times New Roman" w:cs="Times New Roman"/>
              </w:rPr>
              <w:t>омиссии медицинской организации»</w:t>
            </w:r>
            <w:r w:rsidRPr="00021E9E">
              <w:rPr>
                <w:rFonts w:ascii="Times New Roman" w:hAnsi="Times New Roman" w:cs="Times New Roman"/>
              </w:rPr>
              <w:t>)</w:t>
            </w:r>
          </w:p>
          <w:p w:rsidR="00021E9E" w:rsidRPr="00021E9E" w:rsidRDefault="00021E9E" w:rsidP="007011F7">
            <w:pPr>
              <w:jc w:val="both"/>
              <w:rPr>
                <w:rFonts w:ascii="Times New Roman" w:hAnsi="Times New Roman" w:cs="Times New Roman"/>
              </w:rPr>
            </w:pPr>
          </w:p>
          <w:p w:rsidR="00021E9E" w:rsidRPr="00021E9E" w:rsidRDefault="00021E9E" w:rsidP="007011F7">
            <w:pPr>
              <w:rPr>
                <w:rFonts w:ascii="Times New Roman" w:hAnsi="Times New Roman" w:cs="Times New Roman"/>
              </w:rPr>
            </w:pPr>
          </w:p>
          <w:p w:rsidR="00021E9E" w:rsidRPr="00021E9E" w:rsidRDefault="00021E9E" w:rsidP="007011F7">
            <w:pPr>
              <w:rPr>
                <w:rFonts w:ascii="Times New Roman" w:hAnsi="Times New Roman" w:cs="Times New Roman"/>
              </w:rPr>
            </w:pPr>
          </w:p>
        </w:tc>
        <w:tc>
          <w:tcPr>
            <w:tcW w:w="4853" w:type="dxa"/>
          </w:tcPr>
          <w:p w:rsidR="00021E9E" w:rsidRPr="00021E9E" w:rsidRDefault="00021E9E" w:rsidP="007011F7">
            <w:pPr>
              <w:rPr>
                <w:rFonts w:ascii="Times New Roman" w:hAnsi="Times New Roman" w:cs="Times New Roman"/>
                <w:b/>
                <w:bCs/>
              </w:rPr>
            </w:pPr>
            <w:r w:rsidRPr="00021E9E">
              <w:rPr>
                <w:rFonts w:ascii="Times New Roman" w:hAnsi="Times New Roman" w:cs="Times New Roman"/>
                <w:b/>
                <w:bCs/>
              </w:rPr>
              <w:t>15 календарных дней</w:t>
            </w:r>
          </w:p>
          <w:p w:rsidR="00021E9E" w:rsidRPr="00021E9E" w:rsidRDefault="00021E9E" w:rsidP="007011F7">
            <w:pPr>
              <w:pStyle w:val="a4"/>
              <w:numPr>
                <w:ilvl w:val="0"/>
                <w:numId w:val="2"/>
              </w:numPr>
              <w:autoSpaceDE w:val="0"/>
              <w:autoSpaceDN w:val="0"/>
              <w:adjustRightInd w:val="0"/>
              <w:ind w:left="424"/>
              <w:jc w:val="both"/>
              <w:rPr>
                <w:rFonts w:ascii="Times New Roman" w:hAnsi="Times New Roman" w:cs="Times New Roman"/>
              </w:rPr>
            </w:pPr>
            <w:r w:rsidRPr="00021E9E">
              <w:rPr>
                <w:rFonts w:ascii="Times New Roman" w:hAnsi="Times New Roman" w:cs="Times New Roman"/>
              </w:rPr>
              <w:t xml:space="preserve">сообщения о </w:t>
            </w:r>
            <w:r w:rsidR="00D079EA">
              <w:rPr>
                <w:rFonts w:ascii="Times New Roman" w:hAnsi="Times New Roman" w:cs="Times New Roman"/>
              </w:rPr>
              <w:t>серьезных нежелательных реакциях</w:t>
            </w:r>
            <w:r w:rsidRPr="00021E9E">
              <w:rPr>
                <w:rFonts w:ascii="Times New Roman" w:hAnsi="Times New Roman" w:cs="Times New Roman"/>
              </w:rPr>
              <w:t xml:space="preserve"> на лекарственный препарат, выявленн</w:t>
            </w:r>
            <w:r w:rsidR="00EE71C9">
              <w:rPr>
                <w:rFonts w:ascii="Times New Roman" w:hAnsi="Times New Roman" w:cs="Times New Roman"/>
              </w:rPr>
              <w:t>ых</w:t>
            </w:r>
            <w:r w:rsidRPr="00021E9E">
              <w:rPr>
                <w:rFonts w:ascii="Times New Roman" w:hAnsi="Times New Roman" w:cs="Times New Roman"/>
              </w:rPr>
              <w:t xml:space="preserve"> на территории России;</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сообщения о серьезных непредвиденных нежелательных на лекарственный препарат, выявленных</w:t>
            </w:r>
            <w:r w:rsidR="00C408A2">
              <w:rPr>
                <w:rFonts w:ascii="Times New Roman" w:hAnsi="Times New Roman" w:cs="Times New Roman"/>
              </w:rPr>
              <w:t xml:space="preserve"> на территориях иных государств;</w:t>
            </w:r>
          </w:p>
          <w:p w:rsidR="00021E9E" w:rsidRPr="00021E9E" w:rsidRDefault="00021E9E" w:rsidP="007011F7">
            <w:pPr>
              <w:pStyle w:val="a4"/>
              <w:numPr>
                <w:ilvl w:val="0"/>
                <w:numId w:val="2"/>
              </w:numPr>
              <w:autoSpaceDE w:val="0"/>
              <w:autoSpaceDN w:val="0"/>
              <w:adjustRightInd w:val="0"/>
              <w:ind w:left="424"/>
              <w:jc w:val="both"/>
              <w:rPr>
                <w:rFonts w:ascii="Times New Roman" w:hAnsi="Times New Roman" w:cs="Times New Roman"/>
              </w:rPr>
            </w:pPr>
            <w:r w:rsidRPr="00021E9E">
              <w:rPr>
                <w:rFonts w:ascii="Times New Roman" w:hAnsi="Times New Roman" w:cs="Times New Roman"/>
              </w:rPr>
              <w:t>превышение ожидаемой частоты развития серьезных нежелательных реакций, которое может оказать влияние на соотношение "польза - риск" лекарственного препарата;</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ограничения в распространении лекарственного препарата, отзыв лекарственного препарата с рынка, не</w:t>
            </w:r>
            <w:r>
              <w:rPr>
                <w:rFonts w:ascii="Times New Roman" w:hAnsi="Times New Roman" w:cs="Times New Roman"/>
              </w:rPr>
              <w:t xml:space="preserve"> </w:t>
            </w:r>
            <w:r w:rsidRPr="00021E9E">
              <w:rPr>
                <w:rFonts w:ascii="Times New Roman" w:hAnsi="Times New Roman" w:cs="Times New Roman"/>
              </w:rPr>
              <w:t>продление, аннулирование или приостановка действия регистрационных удостоверений (разрешений на маркетинг) на территориях других государств по причинам, связанным с безопасностью и эффективностью лекарственного препарата, а также инициированные уполномоченными органами государств-членов или держателями регистрационных удостоверений данного лекарственного препарата;</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внесение существенных изменений в рекомендации по медицинскому применению на территориях других государств по причинам, связанным с безопасностью лекарственного препарата;</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проблема по безопасности, выявленная в ходе неинтервенционного пострегистрационного исследования, клинического исследования или доклинического исследования;</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данные по безопасности, которые установлены в результате деятельности по выявлению сигнала и могут оказать влияние на соотношение "польза - риск";</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проблемы по безопасности, связанные с применением лекарственного препарата не в соответствии с ОХЛП;</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проблемы по безопасности, связанные с ошибочной информацией в ОХЛП, ИМП (ЛВ) или маркировке лекарственного препарата;</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недостаточная эффективность лекарственных препаратов, применяемых при патологии, представляющей угрозу жизни человека, а также вакцин и контрацептивных средств (или ее отсутствие);</w:t>
            </w:r>
          </w:p>
          <w:p w:rsidR="00021E9E" w:rsidRPr="00021E9E" w:rsidRDefault="00021E9E" w:rsidP="007011F7">
            <w:pPr>
              <w:pStyle w:val="a4"/>
              <w:numPr>
                <w:ilvl w:val="0"/>
                <w:numId w:val="2"/>
              </w:numPr>
              <w:autoSpaceDE w:val="0"/>
              <w:autoSpaceDN w:val="0"/>
              <w:adjustRightInd w:val="0"/>
              <w:spacing w:before="220"/>
              <w:ind w:left="424"/>
              <w:jc w:val="both"/>
              <w:rPr>
                <w:rFonts w:ascii="Times New Roman" w:hAnsi="Times New Roman" w:cs="Times New Roman"/>
              </w:rPr>
            </w:pPr>
            <w:r w:rsidRPr="00021E9E">
              <w:rPr>
                <w:rFonts w:ascii="Times New Roman" w:hAnsi="Times New Roman" w:cs="Times New Roman"/>
              </w:rPr>
              <w:t>проблемы по безопасности, связанные с исходным сырьем для производства лекарственного препарата и (или) его поставками.</w:t>
            </w:r>
          </w:p>
        </w:tc>
        <w:tc>
          <w:tcPr>
            <w:tcW w:w="4854" w:type="dxa"/>
          </w:tcPr>
          <w:p w:rsidR="00021E9E" w:rsidRPr="00021E9E" w:rsidRDefault="00021E9E" w:rsidP="007011F7">
            <w:pPr>
              <w:rPr>
                <w:rFonts w:ascii="Times New Roman" w:hAnsi="Times New Roman" w:cs="Times New Roman"/>
                <w:b/>
                <w:bCs/>
              </w:rPr>
            </w:pPr>
            <w:r w:rsidRPr="00021E9E">
              <w:rPr>
                <w:rFonts w:ascii="Times New Roman" w:hAnsi="Times New Roman" w:cs="Times New Roman"/>
              </w:rPr>
              <w:t xml:space="preserve"> </w:t>
            </w:r>
            <w:r w:rsidRPr="00021E9E">
              <w:rPr>
                <w:rFonts w:ascii="Times New Roman" w:hAnsi="Times New Roman" w:cs="Times New Roman"/>
                <w:b/>
                <w:bCs/>
              </w:rPr>
              <w:t xml:space="preserve">7 календарных дней </w:t>
            </w:r>
          </w:p>
          <w:p w:rsidR="00021E9E" w:rsidRPr="00021E9E" w:rsidRDefault="00021E9E" w:rsidP="007011F7">
            <w:pPr>
              <w:pStyle w:val="a4"/>
              <w:numPr>
                <w:ilvl w:val="0"/>
                <w:numId w:val="3"/>
              </w:numPr>
              <w:ind w:left="389"/>
              <w:rPr>
                <w:rFonts w:ascii="Times New Roman" w:hAnsi="Times New Roman" w:cs="Times New Roman"/>
              </w:rPr>
            </w:pPr>
            <w:r w:rsidRPr="00021E9E">
              <w:rPr>
                <w:rFonts w:ascii="Times New Roman" w:hAnsi="Times New Roman" w:cs="Times New Roman"/>
              </w:rPr>
              <w:t>сообщения о летальных или угрожающих жизни серьезных непредвиденных нежелательных реакциях на исследуемый лекарственный препарат, выявленных в ходе клинических исследований, разрешенных к проведению в Российской Федерации, если иное не предусмотрено одобренным протоколом клинического исследования.</w:t>
            </w:r>
          </w:p>
          <w:p w:rsidR="00021E9E" w:rsidRPr="00021E9E" w:rsidRDefault="00021E9E" w:rsidP="007011F7">
            <w:pPr>
              <w:rPr>
                <w:rFonts w:ascii="Times New Roman" w:hAnsi="Times New Roman" w:cs="Times New Roman"/>
                <w:b/>
                <w:bCs/>
              </w:rPr>
            </w:pPr>
            <w:r w:rsidRPr="00021E9E">
              <w:rPr>
                <w:rFonts w:ascii="Times New Roman" w:hAnsi="Times New Roman" w:cs="Times New Roman"/>
                <w:b/>
                <w:bCs/>
              </w:rPr>
              <w:t>15 календарных дней</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Сообщения о серьезных непредвиденных нежелательных реакциях, за исключением реакций, указанных выше.</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Сообщения о клинически значимом превышении ожидаемой частоты и изменении характера ожидаемых серьезных нежелательных реакций;</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 xml:space="preserve"> Сообщения о серьезных непредвиденных нежелательных реакциях, развившихся у пациента после завершения его участия в клиническом исследовании;</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Новые данные, связанные с проведением клинического исследования или с разработкой исследуемого препарата, которые могут повлиять на безопасность пациентов, таких как:</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серьезные нежелательные явления, связанные с процедурой проведения исследования, на основании которой требуется внесение изменений в протокол проведения исследования;</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отсутствие эффективности исследуемого препарата, применяемого при патологии, представляющей угрозу для жизни;</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новые важные данные по безопасности, полученные в ходе недавно завершившихся исследований на животных (выявленный канцерогенный эффект и аналогичные по тяжести и важности эффекты);</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преждевременное прекращение или приостановка исследования в другой стране (странах), обусловленные изменением в оценке безопасности аналогичного исследуемого препарата;</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иные данные по безопасности, которые изменяют соотношение польза-риск для субъектов исследования;</w:t>
            </w:r>
          </w:p>
          <w:p w:rsidR="00021E9E" w:rsidRPr="00021E9E" w:rsidRDefault="00021E9E" w:rsidP="007011F7">
            <w:pPr>
              <w:pStyle w:val="a4"/>
              <w:numPr>
                <w:ilvl w:val="0"/>
                <w:numId w:val="4"/>
              </w:numPr>
              <w:autoSpaceDE w:val="0"/>
              <w:autoSpaceDN w:val="0"/>
              <w:adjustRightInd w:val="0"/>
              <w:ind w:left="389"/>
              <w:jc w:val="both"/>
              <w:rPr>
                <w:rFonts w:ascii="Times New Roman" w:hAnsi="Times New Roman" w:cs="Times New Roman"/>
              </w:rPr>
            </w:pPr>
            <w:r w:rsidRPr="00021E9E">
              <w:rPr>
                <w:rFonts w:ascii="Times New Roman" w:hAnsi="Times New Roman" w:cs="Times New Roman"/>
              </w:rPr>
              <w:t xml:space="preserve"> рекомендации </w:t>
            </w:r>
            <w:proofErr w:type="gramStart"/>
            <w:r w:rsidRPr="00021E9E">
              <w:rPr>
                <w:rFonts w:ascii="Times New Roman" w:hAnsi="Times New Roman" w:cs="Times New Roman"/>
              </w:rPr>
              <w:t>комитета по независимой оценке</w:t>
            </w:r>
            <w:proofErr w:type="gramEnd"/>
            <w:r w:rsidRPr="00021E9E">
              <w:rPr>
                <w:rFonts w:ascii="Times New Roman" w:hAnsi="Times New Roman" w:cs="Times New Roman"/>
              </w:rPr>
              <w:t xml:space="preserve"> результатов клинического исследования в отношении оценки безопасности исследуемого препарата.</w:t>
            </w:r>
          </w:p>
          <w:p w:rsidR="00021E9E" w:rsidRPr="00021E9E" w:rsidRDefault="00021E9E" w:rsidP="007011F7">
            <w:pPr>
              <w:ind w:left="29"/>
              <w:rPr>
                <w:rFonts w:ascii="Times New Roman" w:hAnsi="Times New Roman" w:cs="Times New Roman"/>
              </w:rPr>
            </w:pPr>
          </w:p>
        </w:tc>
      </w:tr>
    </w:tbl>
    <w:p w:rsidR="00021E9E" w:rsidRPr="00021E9E" w:rsidRDefault="00021E9E" w:rsidP="00021E9E">
      <w:pPr>
        <w:rPr>
          <w:sz w:val="24"/>
          <w:szCs w:val="24"/>
        </w:rPr>
      </w:pPr>
    </w:p>
    <w:sectPr w:rsidR="00021E9E" w:rsidRPr="00021E9E" w:rsidSect="0049561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E6F"/>
    <w:multiLevelType w:val="hybridMultilevel"/>
    <w:tmpl w:val="C82A88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9643F1A"/>
    <w:multiLevelType w:val="hybridMultilevel"/>
    <w:tmpl w:val="BC9AF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5304E0"/>
    <w:multiLevelType w:val="hybridMultilevel"/>
    <w:tmpl w:val="BA48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E32501"/>
    <w:multiLevelType w:val="hybridMultilevel"/>
    <w:tmpl w:val="AD680E3C"/>
    <w:lvl w:ilvl="0" w:tplc="D26648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3130C9"/>
    <w:multiLevelType w:val="hybridMultilevel"/>
    <w:tmpl w:val="AD9CC750"/>
    <w:lvl w:ilvl="0" w:tplc="3220788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6D9E2005"/>
    <w:multiLevelType w:val="hybridMultilevel"/>
    <w:tmpl w:val="F61E9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6319E8"/>
    <w:multiLevelType w:val="hybridMultilevel"/>
    <w:tmpl w:val="5E16E8F2"/>
    <w:lvl w:ilvl="0" w:tplc="27FE878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14"/>
    <w:rsid w:val="000218AB"/>
    <w:rsid w:val="00021E9E"/>
    <w:rsid w:val="000D7A2A"/>
    <w:rsid w:val="003C5ED6"/>
    <w:rsid w:val="00470327"/>
    <w:rsid w:val="00495614"/>
    <w:rsid w:val="006D5935"/>
    <w:rsid w:val="00884A09"/>
    <w:rsid w:val="008D7FD6"/>
    <w:rsid w:val="009A24AC"/>
    <w:rsid w:val="009D102C"/>
    <w:rsid w:val="00B749D2"/>
    <w:rsid w:val="00C408A2"/>
    <w:rsid w:val="00CB1432"/>
    <w:rsid w:val="00D079EA"/>
    <w:rsid w:val="00E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8D3A"/>
  <w15:chartTrackingRefBased/>
  <w15:docId w15:val="{04D9611B-0116-449E-B605-8D77D91C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Глаголев Сергей Владимирович</dc:creator>
  <cp:keywords/>
  <dc:description/>
  <cp:lastModifiedBy>Чижова Диана Александровна</cp:lastModifiedBy>
  <cp:revision>2</cp:revision>
  <dcterms:created xsi:type="dcterms:W3CDTF">2019-12-12T07:34:00Z</dcterms:created>
  <dcterms:modified xsi:type="dcterms:W3CDTF">2019-12-12T07:34:00Z</dcterms:modified>
</cp:coreProperties>
</file>